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EB923" w14:textId="77E04E45" w:rsidR="007960C1" w:rsidRDefault="098C165D" w:rsidP="40D899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290B86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CA0E55" w14:textId="27D80C5C" w:rsidR="007960C1" w:rsidRDefault="6394FC71" w:rsidP="40D899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290B863D">
        <w:rPr>
          <w:rFonts w:ascii="Arial" w:hAnsi="Arial" w:cs="Arial"/>
          <w:b/>
          <w:bCs/>
          <w:sz w:val="22"/>
          <w:szCs w:val="22"/>
        </w:rPr>
        <w:t xml:space="preserve">UNANTICIPATED </w:t>
      </w:r>
      <w:r w:rsidR="464136BD" w:rsidRPr="290B863D">
        <w:rPr>
          <w:rFonts w:ascii="Arial" w:hAnsi="Arial" w:cs="Arial"/>
          <w:b/>
          <w:bCs/>
          <w:sz w:val="22"/>
          <w:szCs w:val="22"/>
        </w:rPr>
        <w:t>PUBLIC</w:t>
      </w:r>
      <w:r w:rsidR="007960C1" w:rsidRPr="290B863D">
        <w:rPr>
          <w:rFonts w:ascii="Arial" w:hAnsi="Arial" w:cs="Arial"/>
          <w:b/>
          <w:bCs/>
          <w:sz w:val="22"/>
          <w:szCs w:val="22"/>
        </w:rPr>
        <w:t xml:space="preserve"> P</w:t>
      </w:r>
      <w:r w:rsidR="000A5780" w:rsidRPr="290B863D">
        <w:rPr>
          <w:rFonts w:ascii="Arial" w:hAnsi="Arial" w:cs="Arial"/>
          <w:b/>
          <w:bCs/>
          <w:sz w:val="22"/>
          <w:szCs w:val="22"/>
        </w:rPr>
        <w:t>ROGRAM</w:t>
      </w:r>
      <w:r w:rsidR="007960C1" w:rsidRPr="290B863D">
        <w:rPr>
          <w:rFonts w:ascii="Arial" w:hAnsi="Arial" w:cs="Arial"/>
          <w:b/>
          <w:bCs/>
          <w:sz w:val="22"/>
          <w:szCs w:val="22"/>
        </w:rPr>
        <w:t xml:space="preserve"> </w:t>
      </w:r>
      <w:r w:rsidR="00FC0796">
        <w:rPr>
          <w:rFonts w:ascii="Arial" w:hAnsi="Arial" w:cs="Arial"/>
          <w:b/>
          <w:bCs/>
          <w:sz w:val="22"/>
          <w:szCs w:val="22"/>
        </w:rPr>
        <w:t>CLOSURES</w:t>
      </w:r>
    </w:p>
    <w:p w14:paraId="7A5A8F35" w14:textId="77777777" w:rsidR="007960C1" w:rsidRDefault="007960C1" w:rsidP="007960C1">
      <w:pPr>
        <w:spacing w:after="120"/>
        <w:rPr>
          <w:rFonts w:ascii="Arial" w:hAnsi="Arial" w:cs="Arial"/>
          <w:b/>
          <w:sz w:val="22"/>
          <w:szCs w:val="22"/>
        </w:rPr>
      </w:pPr>
    </w:p>
    <w:p w14:paraId="6AA6F72F" w14:textId="4CBF303F" w:rsidR="007960C1" w:rsidRDefault="7BDADD84" w:rsidP="40D89918">
      <w:pPr>
        <w:pStyle w:val="ListParagraph"/>
        <w:numPr>
          <w:ilvl w:val="0"/>
          <w:numId w:val="1"/>
        </w:numPr>
        <w:spacing w:after="12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D89918">
        <w:rPr>
          <w:rFonts w:ascii="Arial" w:hAnsi="Arial" w:cs="Arial"/>
          <w:b/>
          <w:bCs/>
          <w:sz w:val="22"/>
          <w:szCs w:val="22"/>
        </w:rPr>
        <w:t>Consultation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9375"/>
      </w:tblGrid>
      <w:tr w:rsidR="40D89918" w14:paraId="3C62AFB4" w14:textId="77777777" w:rsidTr="290B863D">
        <w:tc>
          <w:tcPr>
            <w:tcW w:w="9375" w:type="dxa"/>
          </w:tcPr>
          <w:p w14:paraId="6806C66C" w14:textId="2225FAD2" w:rsidR="00400098" w:rsidRDefault="279304F7" w:rsidP="40D89918">
            <w:pPr>
              <w:rPr>
                <w:rFonts w:ascii="Arial" w:hAnsi="Arial" w:cs="Arial"/>
                <w:sz w:val="22"/>
                <w:szCs w:val="22"/>
              </w:rPr>
            </w:pPr>
            <w:r w:rsidRPr="290B863D">
              <w:rPr>
                <w:rFonts w:ascii="Arial" w:hAnsi="Arial" w:cs="Arial"/>
                <w:sz w:val="22"/>
                <w:szCs w:val="22"/>
              </w:rPr>
              <w:t xml:space="preserve">The institution’s CAO is expected to contact the Deputy Commissioner for Academic Affairs and Student Success </w:t>
            </w:r>
            <w:r w:rsidR="71B03064" w:rsidRPr="290B863D">
              <w:rPr>
                <w:rFonts w:ascii="Arial" w:hAnsi="Arial" w:cs="Arial"/>
                <w:sz w:val="22"/>
                <w:szCs w:val="22"/>
              </w:rPr>
              <w:t>to</w:t>
            </w:r>
            <w:r w:rsidR="77D03CBD" w:rsidRPr="290B86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1B03064" w:rsidRPr="290B863D">
              <w:rPr>
                <w:rFonts w:ascii="Arial" w:hAnsi="Arial" w:cs="Arial"/>
                <w:sz w:val="22"/>
                <w:szCs w:val="22"/>
              </w:rPr>
              <w:t xml:space="preserve">discuss the facts and circumstances, when a program or a group of programs </w:t>
            </w:r>
            <w:r w:rsidR="2D972496" w:rsidRPr="290B863D">
              <w:rPr>
                <w:rFonts w:ascii="Arial" w:hAnsi="Arial" w:cs="Arial"/>
                <w:sz w:val="22"/>
                <w:szCs w:val="22"/>
              </w:rPr>
              <w:t xml:space="preserve">in which students are currently enrolled </w:t>
            </w:r>
            <w:r w:rsidR="71B03064" w:rsidRPr="290B863D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33FF209B" w:rsidRPr="290B863D">
              <w:rPr>
                <w:rFonts w:ascii="Arial" w:hAnsi="Arial" w:cs="Arial"/>
                <w:sz w:val="22"/>
                <w:szCs w:val="22"/>
              </w:rPr>
              <w:t xml:space="preserve">unexpectedly </w:t>
            </w:r>
            <w:r w:rsidR="71B03064" w:rsidRPr="290B863D">
              <w:rPr>
                <w:rFonts w:ascii="Arial" w:hAnsi="Arial" w:cs="Arial"/>
                <w:sz w:val="22"/>
                <w:szCs w:val="22"/>
              </w:rPr>
              <w:t>being considered for discontinuation</w:t>
            </w:r>
            <w:r w:rsidR="367EA98B" w:rsidRPr="290B863D">
              <w:rPr>
                <w:rFonts w:ascii="Arial" w:hAnsi="Arial" w:cs="Arial"/>
                <w:sz w:val="22"/>
                <w:szCs w:val="22"/>
              </w:rPr>
              <w:t xml:space="preserve"> due to external crises beyond the institution’s control</w:t>
            </w:r>
            <w:r w:rsidR="71B03064" w:rsidRPr="290B863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3099DFDB" w:rsidRPr="290B863D">
              <w:rPr>
                <w:rFonts w:ascii="Arial" w:hAnsi="Arial" w:cs="Arial"/>
                <w:sz w:val="22"/>
                <w:szCs w:val="22"/>
              </w:rPr>
              <w:t>Th</w:t>
            </w:r>
            <w:r w:rsidR="00400098">
              <w:rPr>
                <w:rFonts w:ascii="Arial" w:hAnsi="Arial" w:cs="Arial"/>
                <w:sz w:val="22"/>
                <w:szCs w:val="22"/>
              </w:rPr>
              <w:t>e Consultation</w:t>
            </w:r>
            <w:r w:rsidR="3099DFDB" w:rsidRPr="290B863D">
              <w:rPr>
                <w:rFonts w:ascii="Arial" w:hAnsi="Arial" w:cs="Arial"/>
                <w:sz w:val="22"/>
                <w:szCs w:val="22"/>
              </w:rPr>
              <w:t xml:space="preserve"> will </w:t>
            </w:r>
            <w:r w:rsidR="00400098">
              <w:rPr>
                <w:rFonts w:ascii="Arial" w:hAnsi="Arial" w:cs="Arial"/>
                <w:sz w:val="22"/>
                <w:szCs w:val="22"/>
              </w:rPr>
              <w:t xml:space="preserve">serve as assistance, </w:t>
            </w:r>
            <w:proofErr w:type="gramStart"/>
            <w:r w:rsidR="00400098">
              <w:rPr>
                <w:rFonts w:ascii="Arial" w:hAnsi="Arial" w:cs="Arial"/>
                <w:sz w:val="22"/>
                <w:szCs w:val="22"/>
              </w:rPr>
              <w:t>support</w:t>
            </w:r>
            <w:proofErr w:type="gramEnd"/>
            <w:r w:rsidR="00400098">
              <w:rPr>
                <w:rFonts w:ascii="Arial" w:hAnsi="Arial" w:cs="Arial"/>
                <w:sz w:val="22"/>
                <w:szCs w:val="22"/>
              </w:rPr>
              <w:t xml:space="preserve"> and guidance for</w:t>
            </w:r>
            <w:r w:rsidR="19A8A27D" w:rsidRPr="290B863D">
              <w:rPr>
                <w:rFonts w:ascii="Arial" w:hAnsi="Arial" w:cs="Arial"/>
                <w:sz w:val="22"/>
                <w:szCs w:val="22"/>
              </w:rPr>
              <w:t xml:space="preserve"> the i</w:t>
            </w:r>
            <w:r w:rsidR="00400098">
              <w:rPr>
                <w:rFonts w:ascii="Arial" w:hAnsi="Arial" w:cs="Arial"/>
                <w:sz w:val="22"/>
                <w:szCs w:val="22"/>
              </w:rPr>
              <w:t>n</w:t>
            </w:r>
            <w:r w:rsidR="19A8A27D" w:rsidRPr="290B863D">
              <w:rPr>
                <w:rFonts w:ascii="Arial" w:hAnsi="Arial" w:cs="Arial"/>
                <w:sz w:val="22"/>
                <w:szCs w:val="22"/>
              </w:rPr>
              <w:t xml:space="preserve">stitution </w:t>
            </w:r>
            <w:r w:rsidR="00400098">
              <w:rPr>
                <w:rFonts w:ascii="Arial" w:hAnsi="Arial" w:cs="Arial"/>
                <w:sz w:val="22"/>
                <w:szCs w:val="22"/>
              </w:rPr>
              <w:t>in</w:t>
            </w:r>
            <w:r w:rsidR="3099DFDB" w:rsidRPr="290B863D">
              <w:rPr>
                <w:rFonts w:ascii="Arial" w:hAnsi="Arial" w:cs="Arial"/>
                <w:sz w:val="22"/>
                <w:szCs w:val="22"/>
              </w:rPr>
              <w:t xml:space="preserve"> determin</w:t>
            </w:r>
            <w:r w:rsidR="00400098">
              <w:rPr>
                <w:rFonts w:ascii="Arial" w:hAnsi="Arial" w:cs="Arial"/>
                <w:sz w:val="22"/>
                <w:szCs w:val="22"/>
              </w:rPr>
              <w:t>ing</w:t>
            </w:r>
            <w:r w:rsidR="3099DFDB" w:rsidRPr="290B863D">
              <w:rPr>
                <w:rFonts w:ascii="Arial" w:hAnsi="Arial" w:cs="Arial"/>
                <w:sz w:val="22"/>
                <w:szCs w:val="22"/>
              </w:rPr>
              <w:t xml:space="preserve"> how students </w:t>
            </w:r>
            <w:r w:rsidR="7DC79CE4" w:rsidRPr="290B863D">
              <w:rPr>
                <w:rFonts w:ascii="Arial" w:hAnsi="Arial" w:cs="Arial"/>
                <w:sz w:val="22"/>
                <w:szCs w:val="22"/>
              </w:rPr>
              <w:t>can</w:t>
            </w:r>
            <w:r w:rsidR="3099DFDB" w:rsidRPr="290B86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AD00500" w:rsidRPr="290B863D">
              <w:rPr>
                <w:rFonts w:ascii="Arial" w:hAnsi="Arial" w:cs="Arial"/>
                <w:sz w:val="22"/>
                <w:szCs w:val="22"/>
              </w:rPr>
              <w:t xml:space="preserve">best </w:t>
            </w:r>
            <w:r w:rsidR="3099DFDB" w:rsidRPr="290B863D">
              <w:rPr>
                <w:rFonts w:ascii="Arial" w:hAnsi="Arial" w:cs="Arial"/>
                <w:sz w:val="22"/>
                <w:szCs w:val="22"/>
              </w:rPr>
              <w:t>complete the</w:t>
            </w:r>
            <w:r w:rsidR="7BEE3EB3" w:rsidRPr="290B863D">
              <w:rPr>
                <w:rFonts w:ascii="Arial" w:hAnsi="Arial" w:cs="Arial"/>
                <w:sz w:val="22"/>
                <w:szCs w:val="22"/>
              </w:rPr>
              <w:t>ir</w:t>
            </w:r>
            <w:r w:rsidR="3099DFDB" w:rsidRPr="290B863D">
              <w:rPr>
                <w:rFonts w:ascii="Arial" w:hAnsi="Arial" w:cs="Arial"/>
                <w:sz w:val="22"/>
                <w:szCs w:val="22"/>
              </w:rPr>
              <w:t xml:space="preserve"> course of study</w:t>
            </w:r>
            <w:r w:rsidR="25BBEE0A" w:rsidRPr="290B863D">
              <w:rPr>
                <w:rFonts w:ascii="Arial" w:hAnsi="Arial" w:cs="Arial"/>
                <w:sz w:val="22"/>
                <w:szCs w:val="22"/>
              </w:rPr>
              <w:t xml:space="preserve"> in an efficient and effective manner.</w:t>
            </w:r>
          </w:p>
        </w:tc>
      </w:tr>
    </w:tbl>
    <w:p w14:paraId="2F1CEB9B" w14:textId="0A51C9D8" w:rsidR="007960C1" w:rsidRDefault="007960C1" w:rsidP="40D89918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343F793" w14:textId="6870D032" w:rsidR="007960C1" w:rsidRDefault="007960C1" w:rsidP="40D89918">
      <w:pPr>
        <w:pStyle w:val="ListParagraph"/>
        <w:numPr>
          <w:ilvl w:val="0"/>
          <w:numId w:val="1"/>
        </w:numPr>
        <w:spacing w:after="120"/>
        <w:rPr>
          <w:b/>
          <w:bCs/>
          <w:sz w:val="22"/>
          <w:szCs w:val="22"/>
        </w:rPr>
      </w:pPr>
      <w:r w:rsidRPr="40D89918">
        <w:rPr>
          <w:rFonts w:ascii="Arial" w:hAnsi="Arial" w:cs="Arial"/>
          <w:b/>
          <w:bCs/>
          <w:sz w:val="22"/>
          <w:szCs w:val="22"/>
        </w:rPr>
        <w:t>Teach-Out Plan and Academic Integrity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960C1" w14:paraId="6D72CC6A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876" w14:textId="42315DDC" w:rsidR="007960C1" w:rsidRDefault="007960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b/>
                <w:sz w:val="22"/>
                <w:szCs w:val="22"/>
              </w:rPr>
              <w:t xml:space="preserve">1.  </w:t>
            </w:r>
            <w:r>
              <w:rPr>
                <w:rFonts w:ascii="Arial" w:hAnsi="Arial" w:cs="Arial"/>
                <w:b/>
                <w:sz w:val="22"/>
                <w:szCs w:val="22"/>
              </w:rPr>
              <w:t>Teach Out.</w:t>
            </w:r>
            <w:r>
              <w:rPr>
                <w:rFonts w:ascii="Arial" w:hAnsi="Arial" w:cs="Arial"/>
                <w:sz w:val="22"/>
                <w:szCs w:val="22"/>
              </w:rPr>
              <w:t xml:space="preserve"> Describe the teach-out plan for each </w:t>
            </w:r>
            <w:r w:rsidR="00400098">
              <w:rPr>
                <w:rFonts w:ascii="Arial" w:hAnsi="Arial" w:cs="Arial"/>
                <w:sz w:val="22"/>
                <w:szCs w:val="22"/>
              </w:rPr>
              <w:t xml:space="preserve">closing program </w:t>
            </w:r>
            <w:r>
              <w:rPr>
                <w:rFonts w:ascii="Arial" w:hAnsi="Arial" w:cs="Arial"/>
                <w:sz w:val="22"/>
                <w:szCs w:val="22"/>
              </w:rPr>
              <w:t>leading up to the final closure date.</w:t>
            </w:r>
          </w:p>
          <w:p w14:paraId="67E8EA56" w14:textId="77777777" w:rsidR="007960C1" w:rsidRDefault="007960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7960C1" w14:paraId="6412231A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347" w14:textId="112C670C" w:rsidR="007960C1" w:rsidRDefault="007960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Batang" w:hAnsi="Arial" w:cs="Arial"/>
                <w:b/>
                <w:sz w:val="22"/>
                <w:szCs w:val="22"/>
              </w:rPr>
              <w:t xml:space="preserve">Transfer Agreements.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It is the DHE’s expectation that </w:t>
            </w:r>
            <w:r w:rsidR="00E162EC">
              <w:rPr>
                <w:rFonts w:ascii="Arial" w:hAnsi="Arial"/>
                <w:color w:val="000000"/>
                <w:sz w:val="22"/>
                <w:szCs w:val="22"/>
              </w:rPr>
              <w:t>the institution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presents students with appropriate options during the teach-out period. To that end, the DHE highly recommends at least </w:t>
            </w:r>
            <w:r w:rsidR="00F12EEA">
              <w:rPr>
                <w:rFonts w:ascii="Arial" w:hAnsi="Arial"/>
                <w:color w:val="000000"/>
                <w:sz w:val="22"/>
                <w:szCs w:val="22"/>
              </w:rPr>
              <w:t>one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opportunit</w:t>
            </w:r>
            <w:r w:rsidR="00F12EEA">
              <w:rPr>
                <w:rFonts w:ascii="Arial" w:hAnsi="Arial"/>
                <w:color w:val="000000"/>
                <w:sz w:val="22"/>
                <w:szCs w:val="22"/>
              </w:rPr>
              <w:t>y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for students to transfer to an alternative institution</w:t>
            </w:r>
            <w:r w:rsidR="00F12EEA">
              <w:rPr>
                <w:rFonts w:ascii="Arial" w:hAnsi="Arial"/>
                <w:color w:val="000000"/>
                <w:sz w:val="22"/>
                <w:szCs w:val="22"/>
              </w:rPr>
              <w:t xml:space="preserve"> instead of the teach-out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Describe transfer or articulation agreements with other</w:t>
            </w:r>
            <w:r w:rsidR="00F12EEA">
              <w:rPr>
                <w:rFonts w:ascii="Arial" w:hAnsi="Arial" w:cs="Arial"/>
                <w:sz w:val="22"/>
                <w:szCs w:val="22"/>
              </w:rPr>
              <w:t xml:space="preserve"> institutions for each of the </w:t>
            </w:r>
            <w:r w:rsidR="006F5DF5">
              <w:rPr>
                <w:rFonts w:ascii="Arial" w:hAnsi="Arial" w:cs="Arial"/>
                <w:sz w:val="22"/>
                <w:szCs w:val="22"/>
              </w:rPr>
              <w:t>closing</w:t>
            </w:r>
            <w:r w:rsidR="00F12EEA">
              <w:rPr>
                <w:rFonts w:ascii="Arial" w:hAnsi="Arial" w:cs="Arial"/>
                <w:sz w:val="22"/>
                <w:szCs w:val="22"/>
              </w:rPr>
              <w:t xml:space="preserve"> programs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Explain the anticipated transferability of program participants’ credits to other institutions.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(attach agreements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1079CA">
              <w:rPr>
                <w:rFonts w:ascii="Arial" w:hAnsi="Arial" w:cs="Arial"/>
                <w:sz w:val="22"/>
                <w:szCs w:val="22"/>
              </w:rPr>
              <w:t xml:space="preserve"> If there are none, state so specifically</w:t>
            </w:r>
            <w:r w:rsidR="00F12E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9FB5E7" w14:textId="77777777" w:rsidR="007960C1" w:rsidRDefault="007960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D98187" w14:textId="77777777" w:rsidR="007960C1" w:rsidRDefault="007960C1" w:rsidP="007960C1">
      <w:pPr>
        <w:spacing w:after="120"/>
        <w:rPr>
          <w:rFonts w:ascii="Arial" w:hAnsi="Arial" w:cs="Arial"/>
          <w:b/>
          <w:sz w:val="22"/>
          <w:szCs w:val="22"/>
        </w:rPr>
      </w:pPr>
    </w:p>
    <w:p w14:paraId="014ACCCC" w14:textId="77777777" w:rsidR="007960C1" w:rsidRDefault="007960C1" w:rsidP="007960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 Student Data and Student Services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960C1" w14:paraId="7E537C25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CCB" w14:textId="6C8CC96C" w:rsidR="007960C1" w:rsidRDefault="007960C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 Students.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 enrollment numbers by program, </w:t>
            </w:r>
            <w:r w:rsidR="00D77E3B">
              <w:rPr>
                <w:rFonts w:ascii="Arial" w:hAnsi="Arial" w:cs="Arial"/>
                <w:sz w:val="22"/>
                <w:szCs w:val="22"/>
              </w:rPr>
              <w:t>number of</w:t>
            </w:r>
            <w:r>
              <w:rPr>
                <w:rFonts w:ascii="Arial" w:hAnsi="Arial" w:cs="Arial"/>
                <w:sz w:val="22"/>
                <w:szCs w:val="22"/>
              </w:rPr>
              <w:t xml:space="preserve"> credits earned, </w:t>
            </w:r>
            <w:r w:rsidR="00D77E3B">
              <w:rPr>
                <w:rFonts w:ascii="Arial" w:hAnsi="Arial" w:cs="Arial"/>
                <w:sz w:val="22"/>
                <w:szCs w:val="22"/>
              </w:rPr>
              <w:t>number of</w:t>
            </w:r>
            <w:r>
              <w:rPr>
                <w:rFonts w:ascii="Arial" w:hAnsi="Arial" w:cs="Arial"/>
                <w:sz w:val="22"/>
                <w:szCs w:val="22"/>
              </w:rPr>
              <w:t xml:space="preserve"> credits remaining, and anticipated student completion and graduation dates. This information shall be reported to the DHE in a quarterly status report.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See attachment A below. </w:t>
            </w:r>
          </w:p>
          <w:p w14:paraId="55B79171" w14:textId="77777777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0C1" w14:paraId="675C06ED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2BD" w14:textId="4C24041F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 Student Services. </w:t>
            </w:r>
            <w:r>
              <w:rPr>
                <w:rFonts w:ascii="Arial" w:hAnsi="Arial" w:cs="Arial"/>
                <w:sz w:val="22"/>
                <w:szCs w:val="22"/>
              </w:rPr>
              <w:t xml:space="preserve">Describe the services that will be provided to students during the teach out period, </w:t>
            </w:r>
            <w:r w:rsidR="00F27B89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63057C">
              <w:rPr>
                <w:rFonts w:ascii="Arial" w:hAnsi="Arial" w:cs="Arial"/>
                <w:sz w:val="22"/>
                <w:szCs w:val="22"/>
              </w:rPr>
              <w:t>any circumstantial</w:t>
            </w:r>
            <w:r w:rsidR="00F27B89">
              <w:rPr>
                <w:rFonts w:ascii="Arial" w:hAnsi="Arial" w:cs="Arial"/>
                <w:sz w:val="22"/>
                <w:szCs w:val="22"/>
              </w:rPr>
              <w:t xml:space="preserve"> impacts, </w:t>
            </w:r>
            <w:r>
              <w:rPr>
                <w:rFonts w:ascii="Arial" w:hAnsi="Arial" w:cs="Arial"/>
                <w:sz w:val="22"/>
                <w:szCs w:val="22"/>
              </w:rPr>
              <w:t xml:space="preserve">leading up to the closure of the </w:t>
            </w:r>
            <w:r w:rsidR="001079CA">
              <w:rPr>
                <w:rFonts w:ascii="Arial" w:hAnsi="Arial" w:cs="Arial"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; including but not limited to career services, counseling and health services, financial aid, bursar, academic supports, Veterans Education Services, Residential Life, Library, etc.  </w:t>
            </w:r>
          </w:p>
          <w:p w14:paraId="047A6AB3" w14:textId="77777777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0C1" w14:paraId="0AAE99DD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140" w14:textId="4F39176A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 Financial Aid.  </w:t>
            </w:r>
            <w:r>
              <w:rPr>
                <w:rFonts w:ascii="Arial" w:hAnsi="Arial" w:cs="Arial"/>
                <w:sz w:val="22"/>
                <w:szCs w:val="22"/>
              </w:rPr>
              <w:t>Confirm that financial aid eligibility and institutional scholarship aid will continue during the teach-out period</w:t>
            </w:r>
            <w:r w:rsidR="00F27B89">
              <w:rPr>
                <w:rFonts w:ascii="Arial" w:hAnsi="Arial" w:cs="Arial"/>
                <w:sz w:val="22"/>
                <w:szCs w:val="22"/>
              </w:rPr>
              <w:t xml:space="preserve"> for each program</w:t>
            </w:r>
            <w:r>
              <w:rPr>
                <w:rFonts w:ascii="Arial" w:hAnsi="Arial" w:cs="Arial"/>
                <w:sz w:val="22"/>
                <w:szCs w:val="22"/>
              </w:rPr>
              <w:t>.  Explain how this will be communicated to students.</w:t>
            </w:r>
          </w:p>
          <w:p w14:paraId="40D6C775" w14:textId="77777777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0C1" w14:paraId="2909E99A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C43" w14:textId="1606AEFD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Student Veterans.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provide a list of GI Bill beneficiaries currently enrolled </w:t>
            </w:r>
            <w:r w:rsidR="001079CA">
              <w:rPr>
                <w:rFonts w:ascii="Arial" w:hAnsi="Arial" w:cs="Arial"/>
                <w:sz w:val="22"/>
                <w:szCs w:val="22"/>
              </w:rPr>
              <w:t>in the programs that have been discontinued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3C191365" w14:textId="77777777" w:rsidR="007960C1" w:rsidRDefault="00796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537F99" w14:textId="77777777" w:rsidR="007960C1" w:rsidRDefault="007960C1" w:rsidP="007960C1">
      <w:pPr>
        <w:spacing w:after="120"/>
        <w:rPr>
          <w:rFonts w:ascii="Arial" w:hAnsi="Arial" w:cs="Arial"/>
          <w:b/>
          <w:sz w:val="22"/>
          <w:szCs w:val="22"/>
        </w:rPr>
      </w:pPr>
    </w:p>
    <w:p w14:paraId="2A531BCD" w14:textId="77777777" w:rsidR="007960C1" w:rsidRDefault="007960C1" w:rsidP="007960C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 Administration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960C1" w14:paraId="11F3791E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DD4" w14:textId="5B5579B9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Faculty and Staff.</w:t>
            </w:r>
            <w:r>
              <w:rPr>
                <w:rFonts w:ascii="Arial" w:hAnsi="Arial" w:cs="Arial"/>
                <w:sz w:val="22"/>
                <w:szCs w:val="22"/>
              </w:rPr>
              <w:t xml:space="preserve"> Please provide the current number of full-time faculty, the number of part-time faculty, the number of full-time support staff, the number of part-time support staff</w:t>
            </w:r>
            <w:r w:rsidR="001079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79CA">
              <w:rPr>
                <w:rFonts w:ascii="Arial" w:hAnsi="Arial" w:cs="Arial"/>
                <w:sz w:val="22"/>
                <w:szCs w:val="22"/>
              </w:rPr>
              <w:lastRenderedPageBreak/>
              <w:t>for each of the programs being discontinued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1079CA">
              <w:rPr>
                <w:rFonts w:ascii="Arial" w:hAnsi="Arial" w:cs="Arial"/>
                <w:sz w:val="22"/>
                <w:szCs w:val="22"/>
              </w:rPr>
              <w:t>Any changes to t</w:t>
            </w:r>
            <w:r>
              <w:rPr>
                <w:rFonts w:ascii="Arial" w:hAnsi="Arial" w:cs="Arial"/>
                <w:sz w:val="22"/>
                <w:szCs w:val="22"/>
              </w:rPr>
              <w:t xml:space="preserve">his information shall be reported to the DHE </w:t>
            </w:r>
            <w:r w:rsidR="001079CA">
              <w:rPr>
                <w:rFonts w:ascii="Arial" w:hAnsi="Arial" w:cs="Arial"/>
                <w:sz w:val="22"/>
                <w:szCs w:val="22"/>
              </w:rPr>
              <w:t>30 days prior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9DCAD5C" w14:textId="77777777" w:rsidR="007960C1" w:rsidRDefault="007960C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960C1" w14:paraId="6DB6D864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D72" w14:textId="77777777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 Employee Reduction Plan.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 a staffing timeline by semester/quarter that includes anticipated reductions for both faculty and administrative staff, noting that employee/student ratios should remain constant during the teach-out period. 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See attachment B below.</w:t>
            </w:r>
          </w:p>
          <w:p w14:paraId="1E2E3513" w14:textId="77777777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860E7" w14:textId="7733CD18" w:rsidR="007960C1" w:rsidRDefault="007960C1" w:rsidP="007960C1">
      <w:pPr>
        <w:spacing w:after="120"/>
        <w:rPr>
          <w:rFonts w:ascii="Arial" w:hAnsi="Arial" w:cs="Arial"/>
          <w:b/>
          <w:sz w:val="22"/>
          <w:szCs w:val="22"/>
        </w:rPr>
      </w:pPr>
    </w:p>
    <w:p w14:paraId="195009FB" w14:textId="2E9BAA31" w:rsidR="001079CA" w:rsidRDefault="001079CA" w:rsidP="007960C1">
      <w:pPr>
        <w:spacing w:after="120"/>
        <w:rPr>
          <w:rFonts w:ascii="Arial" w:hAnsi="Arial" w:cs="Arial"/>
          <w:b/>
          <w:sz w:val="22"/>
          <w:szCs w:val="22"/>
        </w:rPr>
      </w:pPr>
    </w:p>
    <w:p w14:paraId="24DCE2A2" w14:textId="77777777" w:rsidR="001079CA" w:rsidRDefault="001079CA" w:rsidP="007960C1">
      <w:pPr>
        <w:spacing w:after="120"/>
        <w:rPr>
          <w:rFonts w:ascii="Arial" w:hAnsi="Arial" w:cs="Arial"/>
          <w:b/>
          <w:sz w:val="22"/>
          <w:szCs w:val="22"/>
        </w:rPr>
      </w:pPr>
    </w:p>
    <w:p w14:paraId="62CA3909" w14:textId="77777777" w:rsidR="007960C1" w:rsidRDefault="007960C1" w:rsidP="007960C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E.  Communication &amp; Records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960C1" w14:paraId="762BC10E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42D" w14:textId="69B59C23" w:rsidR="007960C1" w:rsidRDefault="007960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C2BDF" w14:textId="3944EC85" w:rsidR="007960C1" w:rsidRDefault="007960C1" w:rsidP="001079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 Current Communication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Describe any publications, communications and public disclosures and their location (e.g., institution’s website, email communications, etc.) regarding the </w:t>
            </w:r>
            <w:r w:rsidR="001079CA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>
              <w:rPr>
                <w:rFonts w:ascii="Arial" w:hAnsi="Arial" w:cs="Arial"/>
                <w:sz w:val="22"/>
                <w:szCs w:val="22"/>
              </w:rPr>
              <w:t>closure</w:t>
            </w:r>
            <w:r w:rsidR="001079C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F27B89">
              <w:rPr>
                <w:rFonts w:ascii="Arial" w:hAnsi="Arial" w:cs="Arial"/>
                <w:sz w:val="22"/>
                <w:szCs w:val="22"/>
              </w:rPr>
              <w:t xml:space="preserve">Include plans for students impacted by </w:t>
            </w:r>
            <w:r w:rsidR="00022FAA">
              <w:rPr>
                <w:rFonts w:ascii="Arial" w:hAnsi="Arial" w:cs="Arial"/>
                <w:sz w:val="22"/>
                <w:szCs w:val="22"/>
              </w:rPr>
              <w:t>special circumstances</w:t>
            </w:r>
            <w:r w:rsidR="00F27B89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>Attach any specific communications that the institution has sent and anticipates sending to students, faculty, staff, and alumni regarding the proposed teach-out, closure, and potential transfer and articulation arrangements</w:t>
            </w:r>
            <w:r w:rsidR="001079CA">
              <w:rPr>
                <w:rFonts w:ascii="Arial" w:hAnsi="Arial" w:cs="Arial"/>
                <w:sz w:val="22"/>
                <w:szCs w:val="22"/>
              </w:rPr>
              <w:t xml:space="preserve"> for each of the 8 programs being discontinued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2ABDC35" w14:textId="77777777" w:rsidR="007960C1" w:rsidRDefault="007960C1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960C1" w14:paraId="41D10A40" w14:textId="77777777" w:rsidTr="007960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73D6" w14:textId="77777777" w:rsidR="007960C1" w:rsidRDefault="007960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2.  Future Communication.  </w:t>
            </w:r>
            <w:r>
              <w:rPr>
                <w:rFonts w:ascii="Arial" w:hAnsi="Arial" w:cs="Arial"/>
                <w:sz w:val="22"/>
                <w:szCs w:val="22"/>
              </w:rPr>
              <w:t xml:space="preserve">The institution shall send to the DHE, copies of all communications sent to students, former students, alumni, and media regarding the </w:t>
            </w:r>
            <w:r w:rsidR="001079CA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>
              <w:rPr>
                <w:rFonts w:ascii="Arial" w:hAnsi="Arial" w:cs="Arial"/>
                <w:sz w:val="22"/>
                <w:szCs w:val="22"/>
              </w:rPr>
              <w:t>closure</w:t>
            </w:r>
            <w:r w:rsidR="001079C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during the teach-out period.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79A3432" w14:textId="287DF0C5" w:rsidR="001079CA" w:rsidRDefault="001079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EFF72" w14:textId="0513E74E" w:rsidR="00AE5213" w:rsidRDefault="00816B02"/>
    <w:p w14:paraId="633953BC" w14:textId="77777777" w:rsidR="00EF5062" w:rsidRDefault="00EF5062" w:rsidP="00EF5062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F. FISCAL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F5062" w14:paraId="5D02BF63" w14:textId="77777777" w:rsidTr="00EF506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DF3" w14:textId="7AA42077" w:rsidR="00EF5062" w:rsidRDefault="00EF5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 Refund Policy.  </w:t>
            </w:r>
            <w:r>
              <w:rPr>
                <w:rFonts w:ascii="Arial" w:hAnsi="Arial" w:cs="Arial"/>
                <w:sz w:val="22"/>
                <w:szCs w:val="22"/>
              </w:rPr>
              <w:t xml:space="preserve">What is </w:t>
            </w:r>
            <w:r w:rsidR="00FF0789">
              <w:rPr>
                <w:rFonts w:ascii="Arial" w:hAnsi="Arial" w:cs="Arial"/>
                <w:sz w:val="22"/>
                <w:szCs w:val="22"/>
              </w:rPr>
              <w:t>the institution’s</w:t>
            </w:r>
            <w:r>
              <w:rPr>
                <w:rFonts w:ascii="Arial" w:hAnsi="Arial" w:cs="Arial"/>
                <w:sz w:val="22"/>
                <w:szCs w:val="22"/>
              </w:rPr>
              <w:t xml:space="preserve"> refund policy for </w:t>
            </w:r>
            <w:r w:rsidR="00DC6CCA">
              <w:rPr>
                <w:rFonts w:ascii="Arial" w:hAnsi="Arial" w:cs="Arial"/>
                <w:sz w:val="22"/>
                <w:szCs w:val="22"/>
              </w:rPr>
              <w:t>closing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programs? Describe student eligibility for refunds during the teach-out period.  How will this information be communicated to students?</w:t>
            </w:r>
          </w:p>
          <w:p w14:paraId="585F59BE" w14:textId="77777777" w:rsidR="00EF5062" w:rsidRDefault="00EF50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062" w14:paraId="7D208A95" w14:textId="77777777" w:rsidTr="00EF506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153" w14:textId="77777777" w:rsidR="00EF5062" w:rsidRDefault="00EF5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 Physical Resources.  </w:t>
            </w:r>
            <w:r>
              <w:rPr>
                <w:rFonts w:ascii="Arial" w:hAnsi="Arial" w:cs="Arial"/>
                <w:sz w:val="22"/>
                <w:szCs w:val="22"/>
              </w:rPr>
              <w:t xml:space="preserve">Indicate how courses and programs will continue to be supported by adequate physical resources during the teach-out period, including but not limited to instructional space, library assets, and electronic databases. </w:t>
            </w:r>
          </w:p>
          <w:p w14:paraId="24196410" w14:textId="0A2CE144" w:rsidR="00EF5062" w:rsidRPr="00EF5062" w:rsidRDefault="00EF5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F5062" w14:paraId="6EBBB94C" w14:textId="77777777" w:rsidTr="00EF5062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6EFD" w14:textId="1E83FCA7" w:rsidR="00EF5062" w:rsidRDefault="00EF50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 Fiscal Resources. </w:t>
            </w:r>
            <w:r>
              <w:rPr>
                <w:rFonts w:ascii="Arial" w:hAnsi="Arial" w:cs="Arial"/>
                <w:sz w:val="22"/>
                <w:szCs w:val="22"/>
              </w:rPr>
              <w:t xml:space="preserve"> Provide a budget indicating that the organization will have sufficient resources to support the obligations set-forth above throughout the teach-out period</w:t>
            </w:r>
          </w:p>
        </w:tc>
      </w:tr>
    </w:tbl>
    <w:p w14:paraId="32C08D33" w14:textId="77777777" w:rsidR="00EF5062" w:rsidRDefault="00EF5062" w:rsidP="00EF5062">
      <w:pPr>
        <w:rPr>
          <w:rFonts w:ascii="Arial" w:hAnsi="Arial" w:cs="Arial"/>
          <w:b/>
          <w:sz w:val="20"/>
          <w:szCs w:val="20"/>
        </w:rPr>
      </w:pPr>
    </w:p>
    <w:p w14:paraId="1FF5A948" w14:textId="77777777" w:rsidR="00EF5062" w:rsidRDefault="00EF5062" w:rsidP="00EF5062">
      <w:pPr>
        <w:rPr>
          <w:rFonts w:ascii="Arial" w:hAnsi="Arial" w:cs="Arial"/>
          <w:b/>
          <w:sz w:val="22"/>
          <w:szCs w:val="22"/>
        </w:rPr>
      </w:pPr>
    </w:p>
    <w:p w14:paraId="2E6BFB23" w14:textId="7EA251CE" w:rsidR="00EF5062" w:rsidRDefault="00EF5062" w:rsidP="00EF50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President Signature</w:t>
      </w:r>
    </w:p>
    <w:p w14:paraId="7F8E283B" w14:textId="77777777" w:rsidR="00EF5062" w:rsidRDefault="00EF5062" w:rsidP="00EF506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By signing below, I understand and attest that all the foregoing statements are true and accurate. I agree to abide by the terms of the teach-out plan and all other applicable laws, regulations, and accreditation standards throughout the teach-out period.</w:t>
      </w:r>
    </w:p>
    <w:p w14:paraId="0BAA5A52" w14:textId="77777777" w:rsidR="00EF5062" w:rsidRDefault="00EF5062" w:rsidP="00EF5062">
      <w:pPr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384"/>
        <w:gridCol w:w="4312"/>
        <w:gridCol w:w="767"/>
        <w:gridCol w:w="2887"/>
      </w:tblGrid>
      <w:tr w:rsidR="00EF5062" w14:paraId="17BFA48D" w14:textId="77777777" w:rsidTr="00EF5062">
        <w:trPr>
          <w:trHeight w:val="7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AB12" w14:textId="77777777" w:rsidR="00EF5062" w:rsidRDefault="00EF50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C9E" w14:textId="77777777" w:rsidR="00EF5062" w:rsidRDefault="00EF50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3363" w14:textId="77777777" w:rsidR="00EF5062" w:rsidRDefault="00EF506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C92" w14:textId="77777777" w:rsidR="00EF5062" w:rsidRDefault="00EF50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5062" w14:paraId="3FC9B64A" w14:textId="77777777" w:rsidTr="00EF5062">
        <w:trPr>
          <w:trHeight w:val="710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433" w14:textId="77777777" w:rsidR="00EF5062" w:rsidRDefault="00EF50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4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5D3C" w14:textId="77777777" w:rsidR="00EF5062" w:rsidRDefault="00EF50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631983" w14:textId="77777777" w:rsidR="00EF5062" w:rsidRDefault="00EF5062" w:rsidP="00EF5062">
      <w:pPr>
        <w:rPr>
          <w:rFonts w:ascii="Arial" w:hAnsi="Arial" w:cs="Arial"/>
          <w:b/>
          <w:sz w:val="22"/>
          <w:szCs w:val="22"/>
        </w:rPr>
      </w:pPr>
    </w:p>
    <w:p w14:paraId="4CD68E41" w14:textId="77777777" w:rsidR="00EF5062" w:rsidRDefault="00EF5062" w:rsidP="00EF5062">
      <w:pPr>
        <w:rPr>
          <w:rFonts w:ascii="Arial" w:hAnsi="Arial" w:cs="Arial"/>
          <w:b/>
          <w:sz w:val="22"/>
          <w:szCs w:val="22"/>
        </w:rPr>
      </w:pPr>
    </w:p>
    <w:p w14:paraId="72323E66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278C09D5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44490DDF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18DA3C6E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302E5FA9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13C92400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345F758C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5DBC5707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0F9AC4EE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6866BA41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6665EE64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p w14:paraId="2EF18EB0" w14:textId="48044207" w:rsidR="000530E3" w:rsidRDefault="000530E3" w:rsidP="0005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Attachment A: QUARTERLY STUDENT ENROLLMENT BY PROGRAM – SAMPLE</w:t>
      </w:r>
    </w:p>
    <w:p w14:paraId="03FBB46F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0"/>
        <w:gridCol w:w="1072"/>
        <w:gridCol w:w="1006"/>
        <w:gridCol w:w="1316"/>
        <w:gridCol w:w="1426"/>
      </w:tblGrid>
      <w:tr w:rsidR="000530E3" w14:paraId="32090A4E" w14:textId="77777777" w:rsidTr="000530E3">
        <w:trPr>
          <w:trHeight w:val="1048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5A62B" w14:textId="77777777" w:rsidR="000530E3" w:rsidRPr="000530E3" w:rsidRDefault="00053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E3">
              <w:rPr>
                <w:rFonts w:ascii="Arial" w:hAnsi="Arial" w:cs="Arial"/>
                <w:b/>
                <w:bCs/>
                <w:sz w:val="20"/>
                <w:szCs w:val="20"/>
              </w:rPr>
              <w:t>Program with CIP Code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4A108" w14:textId="77777777" w:rsidR="000530E3" w:rsidRPr="000530E3" w:rsidRDefault="00053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E3">
              <w:rPr>
                <w:rFonts w:ascii="Arial" w:hAnsi="Arial" w:cs="Arial"/>
                <w:b/>
                <w:bCs/>
                <w:sz w:val="20"/>
                <w:szCs w:val="20"/>
              </w:rPr>
              <w:t># of students currently enrolled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2687B" w14:textId="77777777" w:rsidR="000530E3" w:rsidRPr="000530E3" w:rsidRDefault="00053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E3">
              <w:rPr>
                <w:rFonts w:ascii="Arial" w:hAnsi="Arial" w:cs="Arial"/>
                <w:b/>
                <w:bCs/>
                <w:sz w:val="20"/>
                <w:szCs w:val="20"/>
              </w:rPr>
              <w:t>Average Credits Earned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EEF7B" w14:textId="77777777" w:rsidR="000530E3" w:rsidRPr="000530E3" w:rsidRDefault="00053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E3">
              <w:rPr>
                <w:rFonts w:ascii="Arial" w:hAnsi="Arial" w:cs="Arial"/>
                <w:b/>
                <w:bCs/>
                <w:sz w:val="20"/>
                <w:szCs w:val="20"/>
              </w:rPr>
              <w:t>Average Credits Remaining for Program Completion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60F63" w14:textId="77777777" w:rsidR="000530E3" w:rsidRPr="000530E3" w:rsidRDefault="000530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E3">
              <w:rPr>
                <w:rFonts w:ascii="Arial" w:hAnsi="Arial" w:cs="Arial"/>
                <w:b/>
                <w:bCs/>
                <w:sz w:val="20"/>
                <w:szCs w:val="20"/>
              </w:rPr>
              <w:t>Expected Graduation Date</w:t>
            </w:r>
          </w:p>
        </w:tc>
      </w:tr>
      <w:tr w:rsidR="000530E3" w14:paraId="1F5E1DD6" w14:textId="77777777" w:rsidTr="000530E3">
        <w:trPr>
          <w:trHeight w:val="35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14CD" w14:textId="77777777" w:rsidR="000530E3" w:rsidRPr="000530E3" w:rsidRDefault="000530E3">
            <w:pPr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Example: BS Graphic Communications 500499B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3BFDE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4A378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81.1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FF8B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B663E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6/28/2008</w:t>
            </w:r>
          </w:p>
        </w:tc>
      </w:tr>
      <w:tr w:rsidR="000530E3" w14:paraId="52592935" w14:textId="77777777" w:rsidTr="000530E3">
        <w:trPr>
          <w:trHeight w:val="35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B4EE4" w14:textId="77777777" w:rsidR="000530E3" w:rsidRPr="000530E3" w:rsidRDefault="000530E3">
            <w:pPr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6ADA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607EF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68.8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B3464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21.2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5AEA0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9/27/2008</w:t>
            </w:r>
          </w:p>
        </w:tc>
      </w:tr>
      <w:tr w:rsidR="000530E3" w14:paraId="0CBDB1C7" w14:textId="77777777" w:rsidTr="000530E3">
        <w:trPr>
          <w:trHeight w:val="35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EC479" w14:textId="77777777" w:rsidR="000530E3" w:rsidRPr="000530E3" w:rsidRDefault="000530E3">
            <w:pPr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43737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709FB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6A338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8EA8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30E3" w14:paraId="5144F531" w14:textId="77777777" w:rsidTr="000530E3">
        <w:trPr>
          <w:trHeight w:val="35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9E49A" w14:textId="77777777" w:rsidR="000530E3" w:rsidRPr="000530E3" w:rsidRDefault="000530E3">
            <w:pPr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Example: Visual Arts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3C275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7EC88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80.9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D1B4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EDE5B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6/28/2008</w:t>
            </w:r>
          </w:p>
        </w:tc>
      </w:tr>
      <w:tr w:rsidR="000530E3" w14:paraId="46874645" w14:textId="77777777" w:rsidTr="000530E3">
        <w:trPr>
          <w:trHeight w:val="35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321D" w14:textId="77777777" w:rsidR="000530E3" w:rsidRPr="000530E3" w:rsidRDefault="000530E3">
            <w:pPr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27027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57E68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69.5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2788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C7EBE" w14:textId="77777777" w:rsidR="000530E3" w:rsidRPr="000530E3" w:rsidRDefault="00053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0E3">
              <w:rPr>
                <w:rFonts w:ascii="Arial" w:hAnsi="Arial" w:cs="Arial"/>
                <w:sz w:val="20"/>
                <w:szCs w:val="20"/>
              </w:rPr>
              <w:t>9/27/2008</w:t>
            </w:r>
          </w:p>
        </w:tc>
      </w:tr>
      <w:tr w:rsidR="000530E3" w14:paraId="7D8E2655" w14:textId="77777777" w:rsidTr="000530E3">
        <w:trPr>
          <w:trHeight w:val="35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F99A9" w14:textId="77777777" w:rsidR="000530E3" w:rsidRDefault="000530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6C501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A4AF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AA7F1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97E46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618217" w14:textId="77777777" w:rsidR="000530E3" w:rsidRDefault="000530E3" w:rsidP="000530E3">
      <w:pPr>
        <w:rPr>
          <w:rFonts w:ascii="Arial" w:hAnsi="Arial" w:cs="Arial"/>
          <w:b/>
          <w:sz w:val="20"/>
          <w:szCs w:val="20"/>
        </w:rPr>
      </w:pPr>
    </w:p>
    <w:p w14:paraId="24C885E6" w14:textId="77777777" w:rsidR="000530E3" w:rsidRDefault="000530E3" w:rsidP="000530E3">
      <w:pPr>
        <w:rPr>
          <w:rFonts w:ascii="Arial" w:hAnsi="Arial" w:cs="Arial"/>
          <w:b/>
          <w:sz w:val="20"/>
          <w:szCs w:val="20"/>
        </w:rPr>
      </w:pPr>
    </w:p>
    <w:p w14:paraId="3BC57E5B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228D2C92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Attachment B: QUARTERLY REPORT OF EMPLOYEES BY PROGRAM/FUNCTIONAL AREA</w:t>
      </w:r>
    </w:p>
    <w:p w14:paraId="1CF3A9C5" w14:textId="77777777" w:rsidR="000530E3" w:rsidRDefault="000530E3" w:rsidP="000530E3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3"/>
        <w:gridCol w:w="3098"/>
        <w:gridCol w:w="1163"/>
        <w:gridCol w:w="1281"/>
        <w:gridCol w:w="1745"/>
      </w:tblGrid>
      <w:tr w:rsidR="000530E3" w14:paraId="1E32C315" w14:textId="77777777" w:rsidTr="000530E3">
        <w:trPr>
          <w:trHeight w:val="1048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49E0B" w14:textId="77777777" w:rsidR="000530E3" w:rsidRDefault="000530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Semester/Quarter &amp;Year</w:t>
            </w:r>
          </w:p>
        </w:tc>
        <w:tc>
          <w:tcPr>
            <w:tcW w:w="1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FDDAA" w14:textId="77777777" w:rsidR="000530E3" w:rsidRDefault="000530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Program/Functional Area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7C282" w14:textId="77777777" w:rsidR="000530E3" w:rsidRDefault="000530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of Fulltime Faculty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DE9E4" w14:textId="77777777" w:rsidR="000530E3" w:rsidRDefault="000530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of Part-time Faculty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A28D" w14:textId="77777777" w:rsidR="000530E3" w:rsidRDefault="000530E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of Administrative Staff</w:t>
            </w:r>
          </w:p>
        </w:tc>
      </w:tr>
      <w:tr w:rsidR="000530E3" w14:paraId="79C2B1BC" w14:textId="77777777" w:rsidTr="000530E3">
        <w:trPr>
          <w:trHeight w:val="35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2B786" w14:textId="77777777" w:rsidR="000530E3" w:rsidRDefault="000530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760AD" w14:textId="77777777" w:rsidR="000530E3" w:rsidRDefault="000530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4B43F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3C834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3B46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E3" w14:paraId="6F20A9F1" w14:textId="77777777" w:rsidTr="000530E3">
        <w:trPr>
          <w:trHeight w:val="35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97A2D" w14:textId="77777777" w:rsidR="000530E3" w:rsidRDefault="00053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0D401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22B65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76D13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05242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E3" w14:paraId="33910369" w14:textId="77777777" w:rsidTr="000530E3">
        <w:trPr>
          <w:trHeight w:val="35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83BA" w14:textId="77777777" w:rsidR="000530E3" w:rsidRDefault="00053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E561B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A13FC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DA401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9A523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530E3" w14:paraId="1B6D9E3B" w14:textId="77777777" w:rsidTr="000530E3">
        <w:trPr>
          <w:trHeight w:val="35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CA8DC" w14:textId="77777777" w:rsidR="000530E3" w:rsidRDefault="000530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6F854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1AAC0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04185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E66E0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E3" w14:paraId="662C84FE" w14:textId="77777777" w:rsidTr="000530E3">
        <w:trPr>
          <w:trHeight w:val="35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C04D7" w14:textId="77777777" w:rsidR="000530E3" w:rsidRDefault="000530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289EB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1BFBC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54E17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19276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30E3" w14:paraId="55940FA8" w14:textId="77777777" w:rsidTr="000530E3">
        <w:trPr>
          <w:trHeight w:val="350"/>
        </w:trPr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6F317" w14:textId="77777777" w:rsidR="000530E3" w:rsidRDefault="000530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8ABFF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B2C08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4F2F0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8DEB2" w14:textId="77777777" w:rsidR="000530E3" w:rsidRDefault="000530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297454" w14:textId="77777777" w:rsidR="000530E3" w:rsidRDefault="000530E3" w:rsidP="000530E3">
      <w:pPr>
        <w:jc w:val="center"/>
        <w:rPr>
          <w:rFonts w:ascii="Arial" w:hAnsi="Arial" w:cs="Arial"/>
          <w:b/>
        </w:rPr>
      </w:pPr>
    </w:p>
    <w:p w14:paraId="4D607B41" w14:textId="77777777" w:rsidR="000530E3" w:rsidRDefault="000530E3" w:rsidP="000530E3">
      <w:pPr>
        <w:jc w:val="center"/>
        <w:rPr>
          <w:rFonts w:ascii="Arial" w:hAnsi="Arial" w:cs="Arial"/>
          <w:b/>
        </w:rPr>
      </w:pPr>
    </w:p>
    <w:p w14:paraId="0965440F" w14:textId="77777777" w:rsidR="000530E3" w:rsidRDefault="000530E3" w:rsidP="000530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QUARTERLY PROGRAM TEACH OUT / TRANSITION PROJECTIONS </w:t>
      </w:r>
    </w:p>
    <w:p w14:paraId="0CF0A5F4" w14:textId="77777777" w:rsidR="000530E3" w:rsidRDefault="000530E3" w:rsidP="000530E3">
      <w:pPr>
        <w:jc w:val="center"/>
        <w:rPr>
          <w:rFonts w:ascii="Arial" w:hAnsi="Arial" w:cs="Arial"/>
          <w:b/>
        </w:rPr>
      </w:pP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4"/>
        <w:gridCol w:w="805"/>
        <w:gridCol w:w="1017"/>
        <w:gridCol w:w="795"/>
        <w:gridCol w:w="1018"/>
        <w:gridCol w:w="795"/>
        <w:gridCol w:w="1018"/>
        <w:gridCol w:w="795"/>
      </w:tblGrid>
      <w:tr w:rsidR="004211E5" w14:paraId="23E733F7" w14:textId="41F0672F" w:rsidTr="004211E5">
        <w:trPr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4574" w14:textId="77777777" w:rsidR="004211E5" w:rsidRDefault="004211E5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443561" w14:textId="77777777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Teach Out</w:t>
            </w:r>
          </w:p>
          <w:p w14:paraId="1FC09398" w14:textId="77777777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1</w:t>
            </w: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EB0164" w14:textId="77777777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Transfer Year 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124A3" w14:textId="7C3036A5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Teach Out Year 2 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0A0F3" w14:textId="77777777" w:rsidR="004211E5" w:rsidRDefault="004211E5" w:rsidP="004211E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Transfer</w:t>
            </w:r>
          </w:p>
          <w:p w14:paraId="48E539D9" w14:textId="3F0FE458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80BC" w14:textId="77777777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Teach Out</w:t>
            </w:r>
          </w:p>
          <w:p w14:paraId="3594E636" w14:textId="72EFACEA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3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7F93" w14:textId="77777777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Transfer</w:t>
            </w:r>
          </w:p>
          <w:p w14:paraId="0C47AC7C" w14:textId="69BBDF21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4340" w14:textId="77777777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Teach Out</w:t>
            </w:r>
          </w:p>
          <w:p w14:paraId="210B8B56" w14:textId="6016C00D" w:rsidR="004211E5" w:rsidRDefault="004211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4</w:t>
            </w:r>
          </w:p>
        </w:tc>
      </w:tr>
      <w:tr w:rsidR="004211E5" w14:paraId="31930894" w14:textId="01C841C5" w:rsidTr="004211E5">
        <w:trPr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1597A" w14:textId="77777777" w:rsidR="004211E5" w:rsidRDefault="0042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Full Time</w:t>
            </w:r>
          </w:p>
        </w:tc>
        <w:tc>
          <w:tcPr>
            <w:tcW w:w="4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9299DA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  <w:p w14:paraId="462515D7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3A430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7910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3A6B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CCE6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F2FA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82FC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</w:tr>
      <w:tr w:rsidR="004211E5" w14:paraId="7F880D76" w14:textId="77E2DA65" w:rsidTr="004211E5">
        <w:trPr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DA9F" w14:textId="77777777" w:rsidR="004211E5" w:rsidRDefault="0042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Time</w:t>
            </w:r>
          </w:p>
          <w:p w14:paraId="181C0332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B34B57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5E0898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8DB5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0E1B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8610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9DEC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0E56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</w:tr>
      <w:tr w:rsidR="004211E5" w14:paraId="2BF98D8F" w14:textId="64126078" w:rsidTr="004211E5">
        <w:trPr>
          <w:jc w:val="center"/>
        </w:trPr>
        <w:tc>
          <w:tcPr>
            <w:tcW w:w="1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17965D3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  <w:p w14:paraId="4944102A" w14:textId="77777777" w:rsidR="004211E5" w:rsidRDefault="00421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Totals</w:t>
            </w:r>
          </w:p>
        </w:tc>
        <w:tc>
          <w:tcPr>
            <w:tcW w:w="48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D0428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557C3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9687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85D8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4FB6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120D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F85E" w14:textId="77777777" w:rsidR="004211E5" w:rsidRDefault="004211E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B87002" w14:textId="77777777" w:rsidR="000530E3" w:rsidRDefault="000530E3" w:rsidP="000530E3">
      <w:pPr>
        <w:ind w:left="2160" w:firstLine="720"/>
        <w:rPr>
          <w:rFonts w:ascii="Arial" w:hAnsi="Arial" w:cs="Arial"/>
          <w:b/>
        </w:rPr>
      </w:pPr>
    </w:p>
    <w:p w14:paraId="01ADB407" w14:textId="6DCB0F88" w:rsidR="000530E3" w:rsidRDefault="000530E3" w:rsidP="000530E3">
      <w:pPr>
        <w:ind w:left="2160" w:firstLine="720"/>
        <w:rPr>
          <w:rFonts w:ascii="Arial" w:hAnsi="Arial" w:cs="Arial"/>
          <w:b/>
        </w:rPr>
      </w:pPr>
    </w:p>
    <w:p w14:paraId="221FC9AC" w14:textId="3888894D" w:rsidR="009A4F76" w:rsidRDefault="009A4F76" w:rsidP="000530E3">
      <w:pPr>
        <w:ind w:left="2160" w:firstLine="720"/>
        <w:rPr>
          <w:rFonts w:ascii="Arial" w:hAnsi="Arial" w:cs="Arial"/>
          <w:b/>
        </w:rPr>
      </w:pPr>
    </w:p>
    <w:p w14:paraId="69082331" w14:textId="77777777" w:rsidR="009A4F76" w:rsidRDefault="009A4F76" w:rsidP="000530E3">
      <w:pPr>
        <w:ind w:left="2160" w:firstLine="720"/>
        <w:rPr>
          <w:rFonts w:ascii="Arial" w:hAnsi="Arial" w:cs="Arial"/>
          <w:b/>
        </w:rPr>
      </w:pPr>
    </w:p>
    <w:p w14:paraId="1AAD3331" w14:textId="77777777" w:rsidR="000530E3" w:rsidRDefault="000530E3" w:rsidP="000530E3">
      <w:pPr>
        <w:jc w:val="center"/>
        <w:rPr>
          <w:rFonts w:ascii="Arial" w:hAnsi="Arial" w:cs="Arial"/>
          <w:b/>
          <w:u w:val="single"/>
        </w:rPr>
      </w:pPr>
    </w:p>
    <w:p w14:paraId="7FE025F7" w14:textId="2C38D0C0" w:rsidR="000530E3" w:rsidRDefault="000530E3" w:rsidP="000530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APPENDICES TO BE ATTACHED</w:t>
      </w:r>
    </w:p>
    <w:p w14:paraId="634A5E08" w14:textId="36C63AD0" w:rsidR="000530E3" w:rsidRDefault="000530E3" w:rsidP="009A4F76">
      <w:pPr>
        <w:rPr>
          <w:rFonts w:ascii="Arial" w:hAnsi="Arial" w:cs="Arial"/>
        </w:rPr>
      </w:pPr>
    </w:p>
    <w:p w14:paraId="37065523" w14:textId="77777777" w:rsidR="000530E3" w:rsidRDefault="000530E3" w:rsidP="000530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Communications to Students</w:t>
      </w:r>
    </w:p>
    <w:p w14:paraId="08FCFFB4" w14:textId="77777777" w:rsidR="000530E3" w:rsidRDefault="000530E3" w:rsidP="000530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Massachusetts GI Bill Beneficiaries</w:t>
      </w:r>
    </w:p>
    <w:p w14:paraId="679D3E8D" w14:textId="77777777" w:rsidR="00EF5062" w:rsidRDefault="00EF5062"/>
    <w:sectPr w:rsidR="00EF5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DC124" w14:textId="77777777" w:rsidR="00816B02" w:rsidRDefault="00816B02" w:rsidP="0019153B">
      <w:r>
        <w:separator/>
      </w:r>
    </w:p>
  </w:endnote>
  <w:endnote w:type="continuationSeparator" w:id="0">
    <w:p w14:paraId="3F383D58" w14:textId="77777777" w:rsidR="00816B02" w:rsidRDefault="00816B02" w:rsidP="0019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321C6" w14:textId="77777777" w:rsidR="0019153B" w:rsidRDefault="00191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80B0" w14:textId="77777777" w:rsidR="0019153B" w:rsidRDefault="001915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C2569" w14:textId="77777777" w:rsidR="0019153B" w:rsidRDefault="00191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27695" w14:textId="77777777" w:rsidR="00816B02" w:rsidRDefault="00816B02" w:rsidP="0019153B">
      <w:r>
        <w:separator/>
      </w:r>
    </w:p>
  </w:footnote>
  <w:footnote w:type="continuationSeparator" w:id="0">
    <w:p w14:paraId="6FAB71DB" w14:textId="77777777" w:rsidR="00816B02" w:rsidRDefault="00816B02" w:rsidP="0019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6F0C6" w14:textId="77777777" w:rsidR="0019153B" w:rsidRDefault="00191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1CA6B" w14:textId="42BD148A" w:rsidR="0019153B" w:rsidRDefault="001915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FCB67" w14:textId="77777777" w:rsidR="0019153B" w:rsidRDefault="00191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23A97"/>
    <w:multiLevelType w:val="hybridMultilevel"/>
    <w:tmpl w:val="09FC4C4A"/>
    <w:lvl w:ilvl="0" w:tplc="0B20279E">
      <w:start w:val="1"/>
      <w:numFmt w:val="upperLetter"/>
      <w:lvlText w:val="%1."/>
      <w:lvlJc w:val="left"/>
      <w:pPr>
        <w:ind w:left="720" w:hanging="360"/>
      </w:pPr>
    </w:lvl>
    <w:lvl w:ilvl="1" w:tplc="5C3E2E8C">
      <w:start w:val="1"/>
      <w:numFmt w:val="lowerLetter"/>
      <w:lvlText w:val="%2."/>
      <w:lvlJc w:val="left"/>
      <w:pPr>
        <w:ind w:left="1440" w:hanging="360"/>
      </w:pPr>
    </w:lvl>
    <w:lvl w:ilvl="2" w:tplc="03C4E718">
      <w:start w:val="1"/>
      <w:numFmt w:val="lowerRoman"/>
      <w:lvlText w:val="%3."/>
      <w:lvlJc w:val="right"/>
      <w:pPr>
        <w:ind w:left="2160" w:hanging="180"/>
      </w:pPr>
    </w:lvl>
    <w:lvl w:ilvl="3" w:tplc="00726AEA">
      <w:start w:val="1"/>
      <w:numFmt w:val="decimal"/>
      <w:lvlText w:val="%4."/>
      <w:lvlJc w:val="left"/>
      <w:pPr>
        <w:ind w:left="2880" w:hanging="360"/>
      </w:pPr>
    </w:lvl>
    <w:lvl w:ilvl="4" w:tplc="1F568E0C">
      <w:start w:val="1"/>
      <w:numFmt w:val="lowerLetter"/>
      <w:lvlText w:val="%5."/>
      <w:lvlJc w:val="left"/>
      <w:pPr>
        <w:ind w:left="3600" w:hanging="360"/>
      </w:pPr>
    </w:lvl>
    <w:lvl w:ilvl="5" w:tplc="EE0A978E">
      <w:start w:val="1"/>
      <w:numFmt w:val="lowerRoman"/>
      <w:lvlText w:val="%6."/>
      <w:lvlJc w:val="right"/>
      <w:pPr>
        <w:ind w:left="4320" w:hanging="180"/>
      </w:pPr>
    </w:lvl>
    <w:lvl w:ilvl="6" w:tplc="92F67126">
      <w:start w:val="1"/>
      <w:numFmt w:val="decimal"/>
      <w:lvlText w:val="%7."/>
      <w:lvlJc w:val="left"/>
      <w:pPr>
        <w:ind w:left="5040" w:hanging="360"/>
      </w:pPr>
    </w:lvl>
    <w:lvl w:ilvl="7" w:tplc="5734CD24">
      <w:start w:val="1"/>
      <w:numFmt w:val="lowerLetter"/>
      <w:lvlText w:val="%8."/>
      <w:lvlJc w:val="left"/>
      <w:pPr>
        <w:ind w:left="5760" w:hanging="360"/>
      </w:pPr>
    </w:lvl>
    <w:lvl w:ilvl="8" w:tplc="89DE81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C1"/>
    <w:rsid w:val="00022FAA"/>
    <w:rsid w:val="000530E3"/>
    <w:rsid w:val="000A5780"/>
    <w:rsid w:val="001079CA"/>
    <w:rsid w:val="00145DFA"/>
    <w:rsid w:val="001703D5"/>
    <w:rsid w:val="0019153B"/>
    <w:rsid w:val="003E07CB"/>
    <w:rsid w:val="003E61B2"/>
    <w:rsid w:val="00400098"/>
    <w:rsid w:val="004211E5"/>
    <w:rsid w:val="00595917"/>
    <w:rsid w:val="005C666E"/>
    <w:rsid w:val="0063057C"/>
    <w:rsid w:val="006525B5"/>
    <w:rsid w:val="006F5DF5"/>
    <w:rsid w:val="007960C1"/>
    <w:rsid w:val="007A0284"/>
    <w:rsid w:val="00816B02"/>
    <w:rsid w:val="008F052D"/>
    <w:rsid w:val="009A4F76"/>
    <w:rsid w:val="00D27DB4"/>
    <w:rsid w:val="00D77E3B"/>
    <w:rsid w:val="00DC6CCA"/>
    <w:rsid w:val="00E162EC"/>
    <w:rsid w:val="00E24262"/>
    <w:rsid w:val="00EF5062"/>
    <w:rsid w:val="00F12EEA"/>
    <w:rsid w:val="00F27B89"/>
    <w:rsid w:val="00FC0796"/>
    <w:rsid w:val="00FD06E0"/>
    <w:rsid w:val="00FE4A84"/>
    <w:rsid w:val="00FE4C69"/>
    <w:rsid w:val="00FF0789"/>
    <w:rsid w:val="037E9559"/>
    <w:rsid w:val="05C9985A"/>
    <w:rsid w:val="070CB0C7"/>
    <w:rsid w:val="09717877"/>
    <w:rsid w:val="098C165D"/>
    <w:rsid w:val="09C06ACF"/>
    <w:rsid w:val="1628872D"/>
    <w:rsid w:val="19A8A27D"/>
    <w:rsid w:val="1FB3FF3D"/>
    <w:rsid w:val="2310D951"/>
    <w:rsid w:val="25BBEE0A"/>
    <w:rsid w:val="279304F7"/>
    <w:rsid w:val="2845D90B"/>
    <w:rsid w:val="290B863D"/>
    <w:rsid w:val="2AD3CCFA"/>
    <w:rsid w:val="2AE05B1F"/>
    <w:rsid w:val="2CC61B4C"/>
    <w:rsid w:val="2D972496"/>
    <w:rsid w:val="2E68B488"/>
    <w:rsid w:val="3099DFDB"/>
    <w:rsid w:val="332736E9"/>
    <w:rsid w:val="33FF209B"/>
    <w:rsid w:val="35973FAA"/>
    <w:rsid w:val="367EA98B"/>
    <w:rsid w:val="3B847C1D"/>
    <w:rsid w:val="3C950DB4"/>
    <w:rsid w:val="40D89918"/>
    <w:rsid w:val="41C7A575"/>
    <w:rsid w:val="42F5AD28"/>
    <w:rsid w:val="464136BD"/>
    <w:rsid w:val="4E856F0B"/>
    <w:rsid w:val="5719B2CD"/>
    <w:rsid w:val="5ADA6B97"/>
    <w:rsid w:val="5C0B588B"/>
    <w:rsid w:val="5F0C136E"/>
    <w:rsid w:val="60B5900A"/>
    <w:rsid w:val="61474AF3"/>
    <w:rsid w:val="6394FC71"/>
    <w:rsid w:val="66446B13"/>
    <w:rsid w:val="685EF5B3"/>
    <w:rsid w:val="6AD00500"/>
    <w:rsid w:val="6D042874"/>
    <w:rsid w:val="707EBDB7"/>
    <w:rsid w:val="71B03064"/>
    <w:rsid w:val="77D03CBD"/>
    <w:rsid w:val="7BDADD84"/>
    <w:rsid w:val="7BEE3EB3"/>
    <w:rsid w:val="7CD0BAF1"/>
    <w:rsid w:val="7D49FBF8"/>
    <w:rsid w:val="7DC79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2D03C"/>
  <w15:chartTrackingRefBased/>
  <w15:docId w15:val="{F3FA57AA-E6A5-46CE-B8FE-43BD0732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0C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0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F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5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5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15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5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C830F3728824A8D1DB05567B4A67D" ma:contentTypeVersion="12" ma:contentTypeDescription="Create a new document." ma:contentTypeScope="" ma:versionID="2442466df7524fe335edd59220e1dd1e">
  <xsd:schema xmlns:xsd="http://www.w3.org/2001/XMLSchema" xmlns:xs="http://www.w3.org/2001/XMLSchema" xmlns:p="http://schemas.microsoft.com/office/2006/metadata/properties" xmlns:ns1="http://schemas.microsoft.com/sharepoint/v3" xmlns:ns2="af405788-9f2c-4cf6-b83d-e482bb4d5d8a" xmlns:ns3="c7223b7f-d29a-40a7-89e9-7fcbaea795a5" targetNamespace="http://schemas.microsoft.com/office/2006/metadata/properties" ma:root="true" ma:fieldsID="f39b7dcd280cc0a5df2668569ce136c0" ns1:_="" ns2:_="" ns3:_="">
    <xsd:import namespace="http://schemas.microsoft.com/sharepoint/v3"/>
    <xsd:import namespace="af405788-9f2c-4cf6-b83d-e482bb4d5d8a"/>
    <xsd:import namespace="c7223b7f-d29a-40a7-89e9-7fcbaea79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05788-9f2c-4cf6-b83d-e482bb4d5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3b7f-d29a-40a7-89e9-7fcbaea79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517B1-5C3B-437A-BEE8-EB9A076189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3E4145-635D-4F6B-AA01-5C0AE6A98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405788-9f2c-4cf6-b83d-e482bb4d5d8a"/>
    <ds:schemaRef ds:uri="c7223b7f-d29a-40a7-89e9-7fcbaea7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A994C-746E-45F8-A614-1DF25008D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Hagan, Winnie (DHE)</dc:creator>
  <cp:keywords/>
  <dc:description/>
  <cp:lastModifiedBy>Hagan, Winnie (DHE)</cp:lastModifiedBy>
  <cp:revision>8</cp:revision>
  <dcterms:created xsi:type="dcterms:W3CDTF">2020-09-01T19:33:00Z</dcterms:created>
  <dcterms:modified xsi:type="dcterms:W3CDTF">2020-09-14T20:39:00Z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0x0101009BFC830F3728824A8D1DB05567B4A67D</vt:lpwstr>
  </property>
</Properties>
</file>